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63" w:rsidRPr="00420DDC" w:rsidRDefault="00587263">
      <w:pPr>
        <w:spacing w:after="717"/>
        <w:ind w:left="157"/>
        <w:rPr>
          <w:color w:val="7C1223"/>
          <w:sz w:val="32"/>
          <w:lang w:val="es-ES_tradnl"/>
        </w:rPr>
      </w:pPr>
    </w:p>
    <w:p w:rsidR="00D41A69" w:rsidRPr="00A56A46" w:rsidRDefault="00E22925">
      <w:pPr>
        <w:spacing w:after="717"/>
        <w:ind w:left="157"/>
        <w:rPr>
          <w:i/>
          <w:sz w:val="24"/>
          <w:szCs w:val="24"/>
        </w:rPr>
      </w:pPr>
      <w:r w:rsidRPr="00587263">
        <w:rPr>
          <w:color w:val="7C1223"/>
          <w:sz w:val="24"/>
          <w:szCs w:val="24"/>
        </w:rPr>
        <w:t>El Programa</w:t>
      </w:r>
      <w:r w:rsidR="00A56A46">
        <w:rPr>
          <w:color w:val="7C1223"/>
          <w:sz w:val="24"/>
          <w:szCs w:val="24"/>
        </w:rPr>
        <w:t xml:space="preserve">: </w:t>
      </w:r>
      <w:r w:rsidR="00A56A46" w:rsidRPr="00A56A46">
        <w:rPr>
          <w:i/>
          <w:color w:val="7C1223"/>
          <w:sz w:val="24"/>
          <w:szCs w:val="24"/>
        </w:rPr>
        <w:t>“que más de los mejores se dediquen a lo público”</w:t>
      </w:r>
      <w:bookmarkStart w:id="0" w:name="_GoBack"/>
      <w:bookmarkEnd w:id="0"/>
    </w:p>
    <w:p w:rsidR="00D41A69" w:rsidRPr="00587263" w:rsidRDefault="00E22925" w:rsidP="00A56A46">
      <w:pPr>
        <w:spacing w:after="317" w:line="360" w:lineRule="auto"/>
        <w:ind w:left="-15" w:right="-15" w:firstLine="698"/>
        <w:jc w:val="both"/>
        <w:rPr>
          <w:sz w:val="24"/>
          <w:szCs w:val="24"/>
        </w:rPr>
      </w:pPr>
      <w:r w:rsidRPr="00587263">
        <w:rPr>
          <w:sz w:val="24"/>
          <w:szCs w:val="24"/>
        </w:rPr>
        <w:t>El mundo actual atraviesa desafíos complejos en los más diversos escenarios. Vivimos un cambio de época que nos exige una forma de mirar capaz de construir soluciones concretas a los retos de nuestros tiempos, buscando alternativas a la polari</w:t>
      </w:r>
      <w:r w:rsidR="00E36E2E">
        <w:rPr>
          <w:sz w:val="24"/>
          <w:szCs w:val="24"/>
        </w:rPr>
        <w:t>zación, impulsando la paz y el Estado de d</w:t>
      </w:r>
      <w:r w:rsidRPr="00587263">
        <w:rPr>
          <w:sz w:val="24"/>
          <w:szCs w:val="24"/>
        </w:rPr>
        <w:t>erecho.</w:t>
      </w:r>
    </w:p>
    <w:p w:rsidR="00D41A69" w:rsidRDefault="00E22925" w:rsidP="00A56A46">
      <w:pPr>
        <w:spacing w:after="0" w:line="360" w:lineRule="auto"/>
        <w:ind w:left="-15" w:right="-15" w:firstLine="698"/>
        <w:jc w:val="both"/>
        <w:rPr>
          <w:sz w:val="24"/>
          <w:szCs w:val="24"/>
        </w:rPr>
      </w:pPr>
      <w:r w:rsidRPr="00587263">
        <w:rPr>
          <w:sz w:val="24"/>
          <w:szCs w:val="24"/>
        </w:rPr>
        <w:t>En ese sentido, el servidor público ha de tener una forma particular de aproximarse a esta realidad, lo que le posibilitará tomar decisiones que persigan el interés general y el buen desarrollo de los entornos en los que se desenvuelve. Partiendo de ello, el Programa pone</w:t>
      </w:r>
      <w:r w:rsidR="00A56A46">
        <w:rPr>
          <w:sz w:val="24"/>
          <w:szCs w:val="24"/>
        </w:rPr>
        <w:t xml:space="preserve"> en marcha una experiencia única</w:t>
      </w:r>
      <w:r w:rsidRPr="00587263">
        <w:rPr>
          <w:sz w:val="24"/>
          <w:szCs w:val="24"/>
        </w:rPr>
        <w:t xml:space="preserve"> que busca   proporcionar a los participantes las herramientas necesarias para impactar positivamente en la sociedad desde lo público.</w:t>
      </w:r>
    </w:p>
    <w:p w:rsidR="00A56A46" w:rsidRPr="00587263" w:rsidRDefault="00A56A46" w:rsidP="00A56A46">
      <w:pPr>
        <w:spacing w:after="0" w:line="360" w:lineRule="auto"/>
        <w:ind w:left="-15" w:right="-15" w:firstLine="698"/>
        <w:jc w:val="both"/>
        <w:rPr>
          <w:sz w:val="24"/>
          <w:szCs w:val="24"/>
        </w:rPr>
      </w:pPr>
    </w:p>
    <w:p w:rsidR="00D41A69" w:rsidRPr="00E36E2E" w:rsidRDefault="00E22925" w:rsidP="00A56A46">
      <w:pPr>
        <w:spacing w:after="317" w:line="360" w:lineRule="auto"/>
        <w:ind w:left="-15" w:right="-15" w:firstLine="698"/>
        <w:jc w:val="both"/>
        <w:rPr>
          <w:color w:val="auto"/>
          <w:sz w:val="24"/>
          <w:szCs w:val="24"/>
        </w:rPr>
      </w:pPr>
      <w:r w:rsidRPr="00587263">
        <w:rPr>
          <w:sz w:val="24"/>
          <w:szCs w:val="24"/>
        </w:rPr>
        <w:t xml:space="preserve">       </w:t>
      </w:r>
      <w:r w:rsidRPr="00E36E2E">
        <w:rPr>
          <w:color w:val="auto"/>
          <w:sz w:val="24"/>
          <w:szCs w:val="24"/>
        </w:rPr>
        <w:t>Con ese f</w:t>
      </w:r>
      <w:r w:rsidR="00E36E2E" w:rsidRPr="00E36E2E">
        <w:rPr>
          <w:color w:val="auto"/>
          <w:sz w:val="24"/>
          <w:szCs w:val="24"/>
        </w:rPr>
        <w:t>in, durante las semanas de p</w:t>
      </w:r>
      <w:r w:rsidRPr="00E36E2E">
        <w:rPr>
          <w:color w:val="auto"/>
          <w:sz w:val="24"/>
          <w:szCs w:val="24"/>
        </w:rPr>
        <w:t>rograma se abordan 3 retos</w:t>
      </w:r>
      <w:r w:rsidR="00A56A46">
        <w:rPr>
          <w:color w:val="auto"/>
          <w:sz w:val="24"/>
          <w:szCs w:val="24"/>
        </w:rPr>
        <w:t xml:space="preserve"> principales</w:t>
      </w:r>
      <w:r w:rsidRPr="00E36E2E">
        <w:rPr>
          <w:color w:val="auto"/>
          <w:sz w:val="24"/>
          <w:szCs w:val="24"/>
        </w:rPr>
        <w:t>: Orden Global, Desigualdad y Sostenibilidad, de</w:t>
      </w:r>
      <w:r w:rsidR="009A4F65" w:rsidRPr="00E36E2E">
        <w:rPr>
          <w:color w:val="auto"/>
          <w:sz w:val="24"/>
          <w:szCs w:val="24"/>
        </w:rPr>
        <w:t>sde dos ejes fundamentales: el B</w:t>
      </w:r>
      <w:r w:rsidRPr="00E36E2E">
        <w:rPr>
          <w:color w:val="auto"/>
          <w:sz w:val="24"/>
          <w:szCs w:val="24"/>
        </w:rPr>
        <w:t xml:space="preserve">uen </w:t>
      </w:r>
      <w:r w:rsidR="009A4F65" w:rsidRPr="00E36E2E">
        <w:rPr>
          <w:color w:val="auto"/>
          <w:sz w:val="24"/>
          <w:szCs w:val="24"/>
        </w:rPr>
        <w:t>Gobierno y la E</w:t>
      </w:r>
      <w:r w:rsidRPr="00E36E2E">
        <w:rPr>
          <w:color w:val="auto"/>
          <w:sz w:val="24"/>
          <w:szCs w:val="24"/>
        </w:rPr>
        <w:t xml:space="preserve">ducación. </w:t>
      </w:r>
    </w:p>
    <w:p w:rsidR="00D41A69" w:rsidRPr="00587263" w:rsidRDefault="00E22925" w:rsidP="00A56A46">
      <w:pPr>
        <w:spacing w:after="317" w:line="360" w:lineRule="auto"/>
        <w:ind w:left="-15" w:right="-15" w:firstLine="698"/>
        <w:jc w:val="both"/>
        <w:rPr>
          <w:sz w:val="24"/>
          <w:szCs w:val="24"/>
        </w:rPr>
      </w:pPr>
      <w:r w:rsidRPr="00587263">
        <w:rPr>
          <w:sz w:val="24"/>
          <w:szCs w:val="24"/>
        </w:rPr>
        <w:t xml:space="preserve"> A su vez, mediante un acompañamiento constante, se trabaja en el desarrollo de habilidades personales necesarias para un buen desempeño en el servicio público, así como también, para impulsar la construcción de vínculos interpersonales que permitan un trabajo conjunto entre actores diversos.</w:t>
      </w:r>
    </w:p>
    <w:p w:rsidR="00D41A69" w:rsidRPr="00587263" w:rsidRDefault="00E22925" w:rsidP="00A56A46">
      <w:pPr>
        <w:spacing w:after="317" w:line="360" w:lineRule="auto"/>
        <w:ind w:left="-15" w:right="-15" w:firstLine="698"/>
        <w:jc w:val="both"/>
        <w:rPr>
          <w:sz w:val="24"/>
          <w:szCs w:val="24"/>
        </w:rPr>
      </w:pPr>
      <w:r w:rsidRPr="00587263">
        <w:rPr>
          <w:sz w:val="24"/>
          <w:szCs w:val="24"/>
        </w:rPr>
        <w:t>Todos estos contenidos son impartidos en un programa intensivo de siete semanas, que transcurre entre España y América Latina, donde se enfatiza la necesidad de impulsar una nueva generación de servidores públicos capaces de impactar en red en toda la región.</w:t>
      </w:r>
      <w:r w:rsidR="00A56A46">
        <w:rPr>
          <w:sz w:val="24"/>
          <w:szCs w:val="24"/>
        </w:rPr>
        <w:t xml:space="preserve"> </w:t>
      </w:r>
      <w:r w:rsidR="00E36E2E">
        <w:rPr>
          <w:sz w:val="24"/>
          <w:szCs w:val="24"/>
        </w:rPr>
        <w:t>El principal objetivo del p</w:t>
      </w:r>
      <w:r w:rsidRPr="00587263">
        <w:rPr>
          <w:sz w:val="24"/>
          <w:szCs w:val="24"/>
        </w:rPr>
        <w:t xml:space="preserve">rograma es que más de los mejores se dediquen a lo público, con 3 principios fundamentales: </w:t>
      </w:r>
      <w:r w:rsidRPr="00A56A46">
        <w:rPr>
          <w:b/>
          <w:sz w:val="24"/>
          <w:szCs w:val="24"/>
        </w:rPr>
        <w:t>integridad, proactividad y vocación de servicio</w:t>
      </w:r>
      <w:r w:rsidRPr="00587263">
        <w:rPr>
          <w:sz w:val="24"/>
          <w:szCs w:val="24"/>
        </w:rPr>
        <w:t>.</w:t>
      </w:r>
    </w:p>
    <w:p w:rsidR="00D41A69" w:rsidRDefault="00D41A69" w:rsidP="00A56A46">
      <w:pPr>
        <w:spacing w:line="360" w:lineRule="auto"/>
        <w:rPr>
          <w:sz w:val="24"/>
          <w:szCs w:val="24"/>
        </w:rPr>
      </w:pPr>
    </w:p>
    <w:p w:rsidR="00A56A46" w:rsidRPr="00587263" w:rsidRDefault="00A56A46">
      <w:pPr>
        <w:rPr>
          <w:sz w:val="24"/>
          <w:szCs w:val="24"/>
        </w:rPr>
        <w:sectPr w:rsidR="00A56A46" w:rsidRPr="00587263">
          <w:headerReference w:type="even" r:id="rId7"/>
          <w:headerReference w:type="default" r:id="rId8"/>
          <w:headerReference w:type="first" r:id="rId9"/>
          <w:pgSz w:w="11906" w:h="16838"/>
          <w:pgMar w:top="1440" w:right="1630" w:bottom="1440" w:left="1545" w:header="690" w:footer="720" w:gutter="0"/>
          <w:cols w:space="720"/>
        </w:sectPr>
      </w:pPr>
    </w:p>
    <w:p w:rsidR="00D41A69" w:rsidRDefault="00E22925" w:rsidP="00587263">
      <w:pPr>
        <w:spacing w:after="558" w:line="258" w:lineRule="auto"/>
      </w:pPr>
      <w:r>
        <w:rPr>
          <w:b/>
          <w:color w:val="A7182F"/>
          <w:sz w:val="18"/>
        </w:rPr>
        <w:lastRenderedPageBreak/>
        <w:t xml:space="preserve">LOS 3 RETOS DEL SERVICIO PÚBLICO Y SUS CONTENIDOS ESPECÍFICOS </w:t>
      </w:r>
    </w:p>
    <w:p w:rsidR="00D41A69" w:rsidRPr="003220F7" w:rsidRDefault="00E22925">
      <w:pPr>
        <w:pStyle w:val="Ttulo1"/>
        <w:ind w:left="31"/>
        <w:rPr>
          <w:color w:val="C00000"/>
        </w:rPr>
      </w:pPr>
      <w:r w:rsidRPr="003220F7">
        <w:rPr>
          <w:color w:val="C00000"/>
        </w:rPr>
        <w:t xml:space="preserve">1. ORDEN GLOBAL </w:t>
      </w:r>
    </w:p>
    <w:p w:rsidR="00587263" w:rsidRPr="003220F7" w:rsidRDefault="00E22925">
      <w:pPr>
        <w:spacing w:after="159" w:line="263" w:lineRule="auto"/>
        <w:ind w:left="31" w:right="56" w:hanging="10"/>
        <w:rPr>
          <w:b/>
          <w:color w:val="404040" w:themeColor="text1" w:themeTint="BF"/>
          <w:sz w:val="18"/>
        </w:rPr>
      </w:pPr>
      <w:r w:rsidRPr="003220F7">
        <w:rPr>
          <w:b/>
          <w:color w:val="404040" w:themeColor="text1" w:themeTint="BF"/>
          <w:sz w:val="18"/>
        </w:rPr>
        <w:t xml:space="preserve">Gobernanza.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América Latina en el contexto geopolítico global. </w:t>
      </w:r>
    </w:p>
    <w:p w:rsidR="00D41A69" w:rsidRPr="003220F7" w:rsidRDefault="00E22925">
      <w:pPr>
        <w:spacing w:after="329" w:line="263" w:lineRule="auto"/>
        <w:ind w:left="31" w:right="185" w:hanging="10"/>
        <w:rPr>
          <w:color w:val="404040" w:themeColor="text1" w:themeTint="BF"/>
        </w:rPr>
      </w:pPr>
      <w:r w:rsidRPr="003220F7">
        <w:rPr>
          <w:b/>
          <w:color w:val="404040" w:themeColor="text1" w:themeTint="BF"/>
          <w:sz w:val="18"/>
        </w:rPr>
        <w:t xml:space="preserve">Europa y su relación con América Latina en el </w:t>
      </w:r>
      <w:r w:rsidR="00587263" w:rsidRPr="003220F7">
        <w:rPr>
          <w:b/>
          <w:color w:val="404040" w:themeColor="text1" w:themeTint="BF"/>
          <w:sz w:val="18"/>
        </w:rPr>
        <w:t>contexto global</w:t>
      </w:r>
      <w:r w:rsidRPr="003220F7">
        <w:rPr>
          <w:b/>
          <w:color w:val="404040" w:themeColor="text1" w:themeTint="BF"/>
          <w:sz w:val="18"/>
        </w:rPr>
        <w:t>.</w:t>
      </w:r>
    </w:p>
    <w:p w:rsidR="00D41A69" w:rsidRPr="003220F7" w:rsidRDefault="00E22925">
      <w:pPr>
        <w:spacing w:after="294" w:line="263" w:lineRule="auto"/>
        <w:ind w:left="31" w:right="56" w:hanging="10"/>
        <w:rPr>
          <w:color w:val="404040" w:themeColor="text1" w:themeTint="BF"/>
        </w:rPr>
      </w:pPr>
      <w:r w:rsidRPr="003220F7">
        <w:rPr>
          <w:b/>
          <w:color w:val="404040" w:themeColor="text1" w:themeTint="BF"/>
          <w:sz w:val="18"/>
        </w:rPr>
        <w:t xml:space="preserve">Globalización, competitividad y gobernabilidad.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Visión estratégica de cooperación global. </w:t>
      </w:r>
    </w:p>
    <w:p w:rsidR="00D41A69" w:rsidRPr="003220F7" w:rsidRDefault="00E22925">
      <w:pPr>
        <w:spacing w:after="324" w:line="263" w:lineRule="auto"/>
        <w:ind w:left="31" w:right="56" w:hanging="10"/>
        <w:rPr>
          <w:color w:val="404040" w:themeColor="text1" w:themeTint="BF"/>
        </w:rPr>
      </w:pPr>
      <w:r w:rsidRPr="003220F7">
        <w:rPr>
          <w:b/>
          <w:color w:val="404040" w:themeColor="text1" w:themeTint="BF"/>
          <w:sz w:val="18"/>
        </w:rPr>
        <w:t xml:space="preserve">Seguridad global. </w:t>
      </w:r>
    </w:p>
    <w:p w:rsidR="00D41A69" w:rsidRPr="003220F7" w:rsidRDefault="00E22925">
      <w:pPr>
        <w:spacing w:after="394" w:line="263" w:lineRule="auto"/>
        <w:ind w:left="31" w:right="56" w:hanging="10"/>
        <w:rPr>
          <w:color w:val="404040" w:themeColor="text1" w:themeTint="BF"/>
        </w:rPr>
      </w:pPr>
      <w:r w:rsidRPr="003220F7">
        <w:rPr>
          <w:b/>
          <w:color w:val="404040" w:themeColor="text1" w:themeTint="BF"/>
          <w:sz w:val="18"/>
        </w:rPr>
        <w:t xml:space="preserve">El fortalecimiento de las democracias y dilemas sobre </w:t>
      </w:r>
      <w:r w:rsidR="00587263" w:rsidRPr="003220F7">
        <w:rPr>
          <w:b/>
          <w:color w:val="404040" w:themeColor="text1" w:themeTint="BF"/>
          <w:sz w:val="18"/>
        </w:rPr>
        <w:t>su futuro</w:t>
      </w:r>
      <w:r w:rsidRPr="003220F7">
        <w:rPr>
          <w:b/>
          <w:color w:val="404040" w:themeColor="text1" w:themeTint="BF"/>
          <w:sz w:val="18"/>
        </w:rPr>
        <w:t>.</w:t>
      </w:r>
    </w:p>
    <w:p w:rsidR="00D41A69" w:rsidRPr="003220F7" w:rsidRDefault="00E22925">
      <w:pPr>
        <w:spacing w:after="310" w:line="263" w:lineRule="auto"/>
        <w:ind w:left="31" w:right="56" w:hanging="10"/>
        <w:rPr>
          <w:color w:val="404040" w:themeColor="text1" w:themeTint="BF"/>
        </w:rPr>
      </w:pPr>
      <w:r w:rsidRPr="003220F7">
        <w:rPr>
          <w:b/>
          <w:color w:val="404040" w:themeColor="text1" w:themeTint="BF"/>
          <w:sz w:val="18"/>
        </w:rPr>
        <w:t xml:space="preserve">Identidades colectivas: movimientos sociales y nacionales. </w:t>
      </w:r>
    </w:p>
    <w:p w:rsidR="00D41A69" w:rsidRPr="003220F7" w:rsidRDefault="00E22925">
      <w:pPr>
        <w:spacing w:after="690" w:line="263" w:lineRule="auto"/>
        <w:ind w:left="31" w:right="56" w:hanging="10"/>
        <w:rPr>
          <w:color w:val="404040" w:themeColor="text1" w:themeTint="BF"/>
        </w:rPr>
      </w:pPr>
      <w:r w:rsidRPr="003220F7">
        <w:rPr>
          <w:b/>
          <w:color w:val="404040" w:themeColor="text1" w:themeTint="BF"/>
          <w:sz w:val="18"/>
        </w:rPr>
        <w:t xml:space="preserve">Principales organismos e instituciones globales. </w:t>
      </w:r>
    </w:p>
    <w:p w:rsidR="00D41A69" w:rsidRPr="003220F7" w:rsidRDefault="00E22925">
      <w:pPr>
        <w:pStyle w:val="Ttulo2"/>
        <w:ind w:left="40"/>
      </w:pPr>
      <w:r w:rsidRPr="003220F7">
        <w:t xml:space="preserve">2. DESIGUALDAD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Brecha social y pobreza.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Desigualdad económica.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Acceso al mercado laboral.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Acceso a la salud.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Acceso a la educación. </w:t>
      </w:r>
    </w:p>
    <w:p w:rsidR="00E36E2E" w:rsidRDefault="00E22925">
      <w:pPr>
        <w:spacing w:after="0" w:line="433" w:lineRule="auto"/>
        <w:ind w:left="31" w:right="1443" w:hanging="10"/>
        <w:rPr>
          <w:b/>
          <w:color w:val="404040" w:themeColor="text1" w:themeTint="BF"/>
          <w:sz w:val="18"/>
        </w:rPr>
      </w:pPr>
      <w:r w:rsidRPr="003220F7">
        <w:rPr>
          <w:b/>
          <w:color w:val="404040" w:themeColor="text1" w:themeTint="BF"/>
          <w:sz w:val="18"/>
        </w:rPr>
        <w:t xml:space="preserve">Acceso a la </w:t>
      </w:r>
      <w:r w:rsidR="00587263" w:rsidRPr="003220F7">
        <w:rPr>
          <w:b/>
          <w:color w:val="404040" w:themeColor="text1" w:themeTint="BF"/>
          <w:sz w:val="18"/>
        </w:rPr>
        <w:t xml:space="preserve">justicia </w:t>
      </w:r>
    </w:p>
    <w:p w:rsidR="00D41A69" w:rsidRPr="003220F7" w:rsidRDefault="00587263">
      <w:pPr>
        <w:spacing w:after="0" w:line="433" w:lineRule="auto"/>
        <w:ind w:left="31" w:right="1443" w:hanging="10"/>
        <w:rPr>
          <w:color w:val="404040" w:themeColor="text1" w:themeTint="BF"/>
        </w:rPr>
      </w:pPr>
      <w:r w:rsidRPr="003220F7">
        <w:rPr>
          <w:b/>
          <w:color w:val="404040" w:themeColor="text1" w:themeTint="BF"/>
          <w:sz w:val="18"/>
        </w:rPr>
        <w:t>Políticas</w:t>
      </w:r>
      <w:r w:rsidR="00E36E2E">
        <w:rPr>
          <w:b/>
          <w:color w:val="404040" w:themeColor="text1" w:themeTint="BF"/>
          <w:sz w:val="18"/>
        </w:rPr>
        <w:t xml:space="preserve"> </w:t>
      </w:r>
      <w:r w:rsidR="00E22925" w:rsidRPr="003220F7">
        <w:rPr>
          <w:b/>
          <w:color w:val="404040" w:themeColor="text1" w:themeTint="BF"/>
          <w:sz w:val="18"/>
        </w:rPr>
        <w:t>de igualdad de género.</w:t>
      </w:r>
    </w:p>
    <w:p w:rsidR="00D41A69" w:rsidRPr="003220F7" w:rsidRDefault="00E22925">
      <w:pPr>
        <w:spacing w:after="157" w:line="265" w:lineRule="auto"/>
        <w:ind w:left="40" w:hanging="10"/>
        <w:rPr>
          <w:color w:val="404040" w:themeColor="text1" w:themeTint="BF"/>
        </w:rPr>
      </w:pPr>
      <w:r w:rsidRPr="003220F7">
        <w:rPr>
          <w:b/>
          <w:color w:val="404040" w:themeColor="text1" w:themeTint="BF"/>
          <w:sz w:val="18"/>
        </w:rPr>
        <w:t xml:space="preserve">Crisis migratoria. </w:t>
      </w:r>
    </w:p>
    <w:p w:rsidR="00D41A69" w:rsidRPr="003220F7" w:rsidRDefault="00E22925">
      <w:pPr>
        <w:pStyle w:val="Ttulo2"/>
        <w:ind w:left="40"/>
      </w:pPr>
      <w:r w:rsidRPr="003220F7">
        <w:t xml:space="preserve">3. SOSTENIBILIDAD </w:t>
      </w:r>
    </w:p>
    <w:p w:rsidR="00D41A69" w:rsidRPr="003220F7" w:rsidRDefault="00E22925">
      <w:pPr>
        <w:spacing w:after="159" w:line="263" w:lineRule="auto"/>
        <w:ind w:left="31" w:right="740" w:hanging="10"/>
        <w:rPr>
          <w:color w:val="404040" w:themeColor="text1" w:themeTint="BF"/>
        </w:rPr>
      </w:pPr>
      <w:r w:rsidRPr="003220F7">
        <w:rPr>
          <w:b/>
          <w:color w:val="404040" w:themeColor="text1" w:themeTint="BF"/>
          <w:sz w:val="18"/>
        </w:rPr>
        <w:t xml:space="preserve">Los Objetivos del Desarrollo Sostenible como horizonte global.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Cambio climático.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Economía Circular.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Ecosistemas y sostenibilidad.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Energías y gestión energética sostenible.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Cambio climático.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Ciudades y movilidad.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Gestión de recursos naturales.  </w:t>
      </w:r>
    </w:p>
    <w:p w:rsidR="00D41A69" w:rsidRPr="003220F7" w:rsidRDefault="00E22925">
      <w:pPr>
        <w:spacing w:after="554" w:line="263" w:lineRule="auto"/>
        <w:ind w:left="31" w:right="56" w:hanging="10"/>
        <w:rPr>
          <w:color w:val="404040" w:themeColor="text1" w:themeTint="BF"/>
        </w:rPr>
      </w:pPr>
      <w:r w:rsidRPr="003220F7">
        <w:rPr>
          <w:b/>
          <w:color w:val="404040" w:themeColor="text1" w:themeTint="BF"/>
          <w:sz w:val="18"/>
        </w:rPr>
        <w:t xml:space="preserve">Nuevas tecnologías y su aporte a los ODS. </w:t>
      </w:r>
    </w:p>
    <w:p w:rsidR="00D41A69" w:rsidRPr="003220F7" w:rsidRDefault="00E22925">
      <w:pPr>
        <w:pStyle w:val="Ttulo1"/>
        <w:spacing w:after="0" w:line="435" w:lineRule="auto"/>
        <w:ind w:left="31" w:right="3157"/>
        <w:rPr>
          <w:color w:val="404040" w:themeColor="text1" w:themeTint="BF"/>
        </w:rPr>
      </w:pPr>
      <w:r w:rsidRPr="003220F7">
        <w:rPr>
          <w:color w:val="C00000"/>
        </w:rPr>
        <w:t>EJES ESTRATÉGICOS A. BUEN GOBIERNO</w:t>
      </w:r>
      <w:r w:rsidRPr="003220F7">
        <w:rPr>
          <w:b w:val="0"/>
          <w:color w:val="C00000"/>
        </w:rPr>
        <w:t xml:space="preserve">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Bases jurídicas en el Estado de Derecho.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Teoría del Estado de Derecho.</w:t>
      </w:r>
    </w:p>
    <w:p w:rsidR="00D41A69" w:rsidRPr="003220F7" w:rsidRDefault="00E22925">
      <w:pPr>
        <w:spacing w:after="157" w:line="265" w:lineRule="auto"/>
        <w:ind w:left="40" w:hanging="10"/>
        <w:rPr>
          <w:color w:val="404040" w:themeColor="text1" w:themeTint="BF"/>
        </w:rPr>
      </w:pPr>
      <w:r w:rsidRPr="003220F7">
        <w:rPr>
          <w:b/>
          <w:color w:val="404040" w:themeColor="text1" w:themeTint="BF"/>
          <w:sz w:val="18"/>
        </w:rPr>
        <w:t xml:space="preserve">Fundamento del Estado.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Seguridad jurídica y transparencia. </w:t>
      </w:r>
    </w:p>
    <w:p w:rsidR="00D41A69" w:rsidRPr="003220F7" w:rsidRDefault="00E22925">
      <w:pPr>
        <w:spacing w:after="157" w:line="265" w:lineRule="auto"/>
        <w:ind w:left="40" w:hanging="10"/>
        <w:rPr>
          <w:color w:val="404040" w:themeColor="text1" w:themeTint="BF"/>
        </w:rPr>
      </w:pPr>
      <w:r w:rsidRPr="003220F7">
        <w:rPr>
          <w:b/>
          <w:color w:val="404040" w:themeColor="text1" w:themeTint="BF"/>
          <w:sz w:val="18"/>
        </w:rPr>
        <w:t>Cooperación e integración regional.</w:t>
      </w:r>
    </w:p>
    <w:p w:rsidR="00D41A69" w:rsidRPr="003220F7" w:rsidRDefault="00E22925">
      <w:pPr>
        <w:spacing w:after="553" w:line="265" w:lineRule="auto"/>
        <w:ind w:left="40" w:hanging="10"/>
        <w:rPr>
          <w:color w:val="404040" w:themeColor="text1" w:themeTint="BF"/>
        </w:rPr>
      </w:pPr>
      <w:r w:rsidRPr="003220F7">
        <w:rPr>
          <w:b/>
          <w:color w:val="404040" w:themeColor="text1" w:themeTint="BF"/>
          <w:sz w:val="18"/>
        </w:rPr>
        <w:t>Democracia en la región y el mundo: retos y posibles escenarios.</w:t>
      </w:r>
    </w:p>
    <w:p w:rsidR="00420DDC" w:rsidRPr="003220F7" w:rsidRDefault="00E22925">
      <w:pPr>
        <w:spacing w:after="26" w:line="433" w:lineRule="auto"/>
        <w:ind w:left="13" w:right="2549" w:hanging="10"/>
        <w:rPr>
          <w:color w:val="C00000"/>
          <w:sz w:val="18"/>
        </w:rPr>
      </w:pPr>
      <w:r w:rsidRPr="003220F7">
        <w:rPr>
          <w:color w:val="C00000"/>
          <w:sz w:val="18"/>
        </w:rPr>
        <w:t>ETICA PÚBLICA</w:t>
      </w:r>
    </w:p>
    <w:p w:rsidR="00D41A69" w:rsidRPr="003220F7" w:rsidRDefault="00E22925" w:rsidP="00420DDC">
      <w:pPr>
        <w:spacing w:after="26" w:line="433" w:lineRule="auto"/>
        <w:ind w:left="13" w:right="2421" w:hanging="10"/>
        <w:rPr>
          <w:color w:val="404040" w:themeColor="text1" w:themeTint="BF"/>
        </w:rPr>
      </w:pPr>
      <w:r w:rsidRPr="003220F7">
        <w:rPr>
          <w:b/>
          <w:color w:val="404040" w:themeColor="text1" w:themeTint="BF"/>
          <w:sz w:val="18"/>
        </w:rPr>
        <w:t>Principios del servidor</w:t>
      </w:r>
      <w:r w:rsidR="00420DDC" w:rsidRPr="003220F7">
        <w:rPr>
          <w:b/>
          <w:color w:val="404040" w:themeColor="text1" w:themeTint="BF"/>
          <w:sz w:val="18"/>
        </w:rPr>
        <w:t xml:space="preserve"> </w:t>
      </w:r>
      <w:r w:rsidRPr="003220F7">
        <w:rPr>
          <w:b/>
          <w:color w:val="404040" w:themeColor="text1" w:themeTint="BF"/>
          <w:sz w:val="18"/>
        </w:rPr>
        <w:t xml:space="preserve">público.  </w:t>
      </w:r>
    </w:p>
    <w:p w:rsidR="00D41A69" w:rsidRPr="003220F7" w:rsidRDefault="00E22925">
      <w:pPr>
        <w:spacing w:after="159"/>
        <w:ind w:left="13" w:hanging="10"/>
        <w:rPr>
          <w:color w:val="404040" w:themeColor="text1" w:themeTint="BF"/>
        </w:rPr>
      </w:pPr>
      <w:r w:rsidRPr="003220F7">
        <w:rPr>
          <w:b/>
          <w:color w:val="404040" w:themeColor="text1" w:themeTint="BF"/>
          <w:sz w:val="18"/>
        </w:rPr>
        <w:t xml:space="preserve">Ética y ciudadanía. </w:t>
      </w:r>
    </w:p>
    <w:p w:rsidR="00D41A69" w:rsidRPr="003220F7" w:rsidRDefault="00E22925">
      <w:pPr>
        <w:spacing w:after="123"/>
        <w:ind w:left="13" w:hanging="10"/>
        <w:rPr>
          <w:color w:val="404040" w:themeColor="text1" w:themeTint="BF"/>
        </w:rPr>
      </w:pPr>
      <w:r w:rsidRPr="003220F7">
        <w:rPr>
          <w:b/>
          <w:color w:val="404040" w:themeColor="text1" w:themeTint="BF"/>
          <w:sz w:val="18"/>
        </w:rPr>
        <w:t xml:space="preserve">Ética Pública y ejercicio profesional. </w:t>
      </w:r>
    </w:p>
    <w:p w:rsidR="00D41A69" w:rsidRPr="003220F7" w:rsidRDefault="00E22925">
      <w:pPr>
        <w:spacing w:after="205" w:line="248" w:lineRule="auto"/>
        <w:ind w:left="22" w:hanging="10"/>
        <w:rPr>
          <w:color w:val="404040" w:themeColor="text1" w:themeTint="BF"/>
        </w:rPr>
      </w:pPr>
      <w:r w:rsidRPr="003220F7">
        <w:rPr>
          <w:b/>
          <w:color w:val="404040" w:themeColor="text1" w:themeTint="BF"/>
          <w:sz w:val="18"/>
        </w:rPr>
        <w:t xml:space="preserve">Legislación comparada en materia de Ética Pública. </w:t>
      </w:r>
    </w:p>
    <w:p w:rsidR="00D41A69" w:rsidRPr="003220F7" w:rsidRDefault="00E22925">
      <w:pPr>
        <w:spacing w:after="205" w:line="248" w:lineRule="auto"/>
        <w:ind w:left="22" w:hanging="10"/>
        <w:rPr>
          <w:color w:val="404040" w:themeColor="text1" w:themeTint="BF"/>
        </w:rPr>
      </w:pPr>
      <w:r w:rsidRPr="003220F7">
        <w:rPr>
          <w:b/>
          <w:color w:val="404040" w:themeColor="text1" w:themeTint="BF"/>
          <w:sz w:val="18"/>
        </w:rPr>
        <w:t>Lucha contra la corrupción: casos.</w:t>
      </w:r>
    </w:p>
    <w:p w:rsidR="00D41A69" w:rsidRPr="003220F7" w:rsidRDefault="00E22925">
      <w:pPr>
        <w:spacing w:after="205" w:line="248" w:lineRule="auto"/>
        <w:ind w:left="22" w:right="2177" w:hanging="10"/>
        <w:rPr>
          <w:color w:val="404040" w:themeColor="text1" w:themeTint="BF"/>
        </w:rPr>
      </w:pPr>
      <w:r w:rsidRPr="003220F7">
        <w:rPr>
          <w:b/>
          <w:color w:val="404040" w:themeColor="text1" w:themeTint="BF"/>
          <w:sz w:val="18"/>
        </w:rPr>
        <w:t>Ética en la contratación pública y el acceso a cargos públicos.</w:t>
      </w:r>
    </w:p>
    <w:p w:rsidR="00D41A69" w:rsidRPr="003220F7" w:rsidRDefault="00E22925">
      <w:pPr>
        <w:spacing w:after="205" w:line="248" w:lineRule="auto"/>
        <w:ind w:left="22" w:hanging="10"/>
        <w:rPr>
          <w:color w:val="404040" w:themeColor="text1" w:themeTint="BF"/>
        </w:rPr>
      </w:pPr>
      <w:r w:rsidRPr="003220F7">
        <w:rPr>
          <w:b/>
          <w:color w:val="404040" w:themeColor="text1" w:themeTint="BF"/>
          <w:sz w:val="18"/>
        </w:rPr>
        <w:t>Ética en la comunicación oficial.</w:t>
      </w:r>
    </w:p>
    <w:p w:rsidR="00D41A69" w:rsidRPr="003220F7" w:rsidRDefault="00E22925">
      <w:pPr>
        <w:spacing w:after="159" w:line="263" w:lineRule="auto"/>
        <w:ind w:left="31" w:right="56" w:hanging="10"/>
        <w:rPr>
          <w:color w:val="C00000"/>
        </w:rPr>
      </w:pPr>
      <w:r w:rsidRPr="003220F7">
        <w:rPr>
          <w:color w:val="C00000"/>
          <w:sz w:val="18"/>
        </w:rPr>
        <w:lastRenderedPageBreak/>
        <w:t xml:space="preserve">ECONOMÍA </w:t>
      </w:r>
    </w:p>
    <w:p w:rsidR="00D41A69" w:rsidRPr="003220F7" w:rsidRDefault="00E22925">
      <w:pPr>
        <w:spacing w:after="164" w:line="258" w:lineRule="auto"/>
        <w:ind w:left="36" w:right="203"/>
        <w:rPr>
          <w:color w:val="404040" w:themeColor="text1" w:themeTint="BF"/>
        </w:rPr>
      </w:pPr>
      <w:r w:rsidRPr="003220F7">
        <w:rPr>
          <w:b/>
          <w:color w:val="404040" w:themeColor="text1" w:themeTint="BF"/>
          <w:sz w:val="18"/>
        </w:rPr>
        <w:t xml:space="preserve">Análisis de las variables de crecimiento económico: indicadores macroeconómicos básicos. </w:t>
      </w:r>
    </w:p>
    <w:p w:rsidR="00D41A69" w:rsidRPr="003220F7" w:rsidRDefault="00E22925">
      <w:pPr>
        <w:spacing w:after="164" w:line="257" w:lineRule="auto"/>
        <w:ind w:left="31" w:right="383" w:hanging="10"/>
        <w:rPr>
          <w:color w:val="404040" w:themeColor="text1" w:themeTint="BF"/>
        </w:rPr>
      </w:pPr>
      <w:r w:rsidRPr="003220F7">
        <w:rPr>
          <w:b/>
          <w:color w:val="404040" w:themeColor="text1" w:themeTint="BF"/>
          <w:sz w:val="18"/>
        </w:rPr>
        <w:t xml:space="preserve">Las políticas económicas en la economía globalizada. </w:t>
      </w:r>
    </w:p>
    <w:p w:rsidR="00D41A69" w:rsidRPr="003220F7" w:rsidRDefault="00E22925">
      <w:pPr>
        <w:spacing w:after="224" w:line="257" w:lineRule="auto"/>
        <w:ind w:left="36"/>
        <w:rPr>
          <w:color w:val="404040" w:themeColor="text1" w:themeTint="BF"/>
        </w:rPr>
      </w:pPr>
      <w:r w:rsidRPr="003220F7">
        <w:rPr>
          <w:b/>
          <w:color w:val="404040" w:themeColor="text1" w:themeTint="BF"/>
          <w:sz w:val="18"/>
        </w:rPr>
        <w:t xml:space="preserve">Principales problemas macroeconómicos de la economía latinoamericana, su impacto en la actividad empresarial y alternativas de solución. </w:t>
      </w:r>
    </w:p>
    <w:p w:rsidR="00D41A69" w:rsidRPr="003220F7" w:rsidRDefault="00E22925" w:rsidP="00420DDC">
      <w:pPr>
        <w:spacing w:after="0" w:line="240" w:lineRule="auto"/>
        <w:ind w:left="31" w:right="690" w:hanging="10"/>
        <w:rPr>
          <w:b/>
          <w:color w:val="404040" w:themeColor="text1" w:themeTint="BF"/>
          <w:sz w:val="18"/>
        </w:rPr>
      </w:pPr>
      <w:r w:rsidRPr="003220F7">
        <w:rPr>
          <w:b/>
          <w:color w:val="404040" w:themeColor="text1" w:themeTint="BF"/>
          <w:sz w:val="18"/>
        </w:rPr>
        <w:t>Economía del desarrollo. Innovación y</w:t>
      </w:r>
      <w:r w:rsidR="00420DDC" w:rsidRPr="003220F7">
        <w:rPr>
          <w:b/>
          <w:color w:val="404040" w:themeColor="text1" w:themeTint="BF"/>
          <w:sz w:val="18"/>
        </w:rPr>
        <w:t xml:space="preserve"> </w:t>
      </w:r>
      <w:r w:rsidRPr="003220F7">
        <w:rPr>
          <w:b/>
          <w:color w:val="404040" w:themeColor="text1" w:themeTint="BF"/>
          <w:sz w:val="18"/>
        </w:rPr>
        <w:t xml:space="preserve">economía. </w:t>
      </w:r>
    </w:p>
    <w:p w:rsidR="00420DDC" w:rsidRPr="003220F7" w:rsidRDefault="00420DDC" w:rsidP="00420DDC">
      <w:pPr>
        <w:spacing w:after="0" w:line="240" w:lineRule="auto"/>
        <w:ind w:left="31" w:right="690" w:hanging="10"/>
        <w:rPr>
          <w:color w:val="404040" w:themeColor="text1" w:themeTint="BF"/>
        </w:rPr>
      </w:pPr>
    </w:p>
    <w:p w:rsidR="00D41A69" w:rsidRPr="003220F7" w:rsidRDefault="00E22925">
      <w:pPr>
        <w:spacing w:after="164" w:line="257" w:lineRule="auto"/>
        <w:ind w:left="31" w:right="181" w:hanging="10"/>
        <w:rPr>
          <w:color w:val="C00000"/>
        </w:rPr>
      </w:pPr>
      <w:r w:rsidRPr="003220F7">
        <w:rPr>
          <w:color w:val="C00000"/>
          <w:sz w:val="18"/>
        </w:rPr>
        <w:t xml:space="preserve">CIUDADES Y MOVILIDAD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Ciudades Sostenibles.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Gestión Sostenible de Transporte Público. </w:t>
      </w:r>
    </w:p>
    <w:p w:rsidR="00D41A69" w:rsidRPr="003220F7" w:rsidRDefault="00E22925">
      <w:pPr>
        <w:spacing w:after="218" w:line="434" w:lineRule="auto"/>
        <w:ind w:left="31" w:right="181" w:hanging="10"/>
        <w:rPr>
          <w:color w:val="404040" w:themeColor="text1" w:themeTint="BF"/>
        </w:rPr>
      </w:pPr>
      <w:r w:rsidRPr="003220F7">
        <w:rPr>
          <w:b/>
          <w:color w:val="404040" w:themeColor="text1" w:themeTint="BF"/>
          <w:sz w:val="18"/>
        </w:rPr>
        <w:t xml:space="preserve">Políticas públicas de movilidad. Urbanismo y Arquitectura desde lo Público. </w:t>
      </w:r>
    </w:p>
    <w:p w:rsidR="00D41A69" w:rsidRPr="003220F7" w:rsidRDefault="00E22925">
      <w:pPr>
        <w:spacing w:after="164" w:line="257" w:lineRule="auto"/>
        <w:ind w:left="31" w:right="181" w:hanging="10"/>
        <w:rPr>
          <w:color w:val="C00000"/>
        </w:rPr>
      </w:pPr>
      <w:r w:rsidRPr="003220F7">
        <w:rPr>
          <w:color w:val="C00000"/>
          <w:sz w:val="18"/>
        </w:rPr>
        <w:t xml:space="preserve">SANIDAD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Gestión de la sanidad pública.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Salud e innovación.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Gestión de crisis.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El papel de la investigación biomédica.  </w:t>
      </w:r>
    </w:p>
    <w:p w:rsidR="00D41A69" w:rsidRPr="003220F7" w:rsidRDefault="00E22925">
      <w:pPr>
        <w:spacing w:after="397" w:line="434" w:lineRule="auto"/>
        <w:ind w:left="31" w:right="181" w:hanging="10"/>
        <w:rPr>
          <w:color w:val="404040" w:themeColor="text1" w:themeTint="BF"/>
        </w:rPr>
      </w:pPr>
      <w:r w:rsidRPr="003220F7">
        <w:rPr>
          <w:b/>
          <w:color w:val="404040" w:themeColor="text1" w:themeTint="BF"/>
          <w:sz w:val="18"/>
        </w:rPr>
        <w:t xml:space="preserve">Manejo de crisis sanitarias. Caso COVID-19. Fuerzas Armadas y gestión sanitaria. </w:t>
      </w:r>
    </w:p>
    <w:p w:rsidR="00D41A69" w:rsidRPr="003220F7" w:rsidRDefault="00E22925">
      <w:pPr>
        <w:spacing w:after="164" w:line="257" w:lineRule="auto"/>
        <w:ind w:left="31" w:right="181" w:hanging="10"/>
        <w:rPr>
          <w:color w:val="C00000"/>
        </w:rPr>
      </w:pPr>
      <w:r w:rsidRPr="003220F7">
        <w:rPr>
          <w:color w:val="C00000"/>
          <w:sz w:val="18"/>
        </w:rPr>
        <w:t xml:space="preserve">TRANSFORMACIÓN DIGITAL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Estudio de casos en instituciones públicas. </w:t>
      </w:r>
    </w:p>
    <w:p w:rsidR="00D41A69" w:rsidRPr="003220F7" w:rsidRDefault="00E22925">
      <w:pPr>
        <w:spacing w:after="164" w:line="257" w:lineRule="auto"/>
        <w:ind w:left="31" w:right="181" w:hanging="10"/>
        <w:rPr>
          <w:color w:val="404040" w:themeColor="text1" w:themeTint="BF"/>
        </w:rPr>
      </w:pPr>
      <w:r w:rsidRPr="003220F7">
        <w:rPr>
          <w:b/>
          <w:color w:val="404040" w:themeColor="text1" w:themeTint="BF"/>
          <w:sz w:val="18"/>
        </w:rPr>
        <w:t xml:space="preserve">Digitalización en lo público. </w:t>
      </w:r>
    </w:p>
    <w:p w:rsidR="00D41A69" w:rsidRPr="003220F7" w:rsidRDefault="00E22925">
      <w:pPr>
        <w:spacing w:after="164" w:line="257" w:lineRule="auto"/>
        <w:ind w:left="31" w:right="181" w:hanging="10"/>
        <w:rPr>
          <w:b/>
          <w:color w:val="404040" w:themeColor="text1" w:themeTint="BF"/>
          <w:sz w:val="18"/>
        </w:rPr>
      </w:pPr>
      <w:r w:rsidRPr="003220F7">
        <w:rPr>
          <w:b/>
          <w:color w:val="404040" w:themeColor="text1" w:themeTint="BF"/>
          <w:sz w:val="18"/>
        </w:rPr>
        <w:t xml:space="preserve">Tecnología e innovación. </w:t>
      </w:r>
    </w:p>
    <w:p w:rsidR="00D41A69" w:rsidRPr="003220F7" w:rsidRDefault="00E22925">
      <w:pPr>
        <w:pStyle w:val="Ttulo1"/>
        <w:ind w:left="31"/>
        <w:rPr>
          <w:color w:val="C00000"/>
        </w:rPr>
      </w:pPr>
      <w:r w:rsidRPr="003220F7">
        <w:rPr>
          <w:color w:val="C00000"/>
        </w:rPr>
        <w:t xml:space="preserve">B. EDUCACIÓN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Políticas Públicas en materia de educación: análisis de caso.</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Modelos educativos y cambio de paradigma. </w:t>
      </w:r>
    </w:p>
    <w:p w:rsidR="00D41A69" w:rsidRPr="003220F7" w:rsidRDefault="00E22925" w:rsidP="00420DDC">
      <w:pPr>
        <w:spacing w:after="0" w:line="276" w:lineRule="auto"/>
        <w:ind w:left="31" w:right="56" w:hanging="10"/>
        <w:rPr>
          <w:b/>
          <w:color w:val="404040" w:themeColor="text1" w:themeTint="BF"/>
          <w:sz w:val="18"/>
        </w:rPr>
      </w:pPr>
      <w:r w:rsidRPr="003220F7">
        <w:rPr>
          <w:b/>
          <w:color w:val="404040" w:themeColor="text1" w:themeTint="BF"/>
          <w:sz w:val="18"/>
        </w:rPr>
        <w:t xml:space="preserve">Desarrollo de competencias y habilidades blandas. </w:t>
      </w:r>
    </w:p>
    <w:p w:rsidR="00420DDC" w:rsidRPr="003220F7" w:rsidRDefault="00420DDC" w:rsidP="00420DDC">
      <w:pPr>
        <w:spacing w:after="0" w:line="276" w:lineRule="auto"/>
        <w:ind w:left="31" w:right="56" w:hanging="10"/>
        <w:rPr>
          <w:color w:val="404040" w:themeColor="text1" w:themeTint="BF"/>
        </w:rPr>
      </w:pPr>
    </w:p>
    <w:p w:rsidR="00D41A69" w:rsidRPr="003220F7" w:rsidRDefault="00E22925" w:rsidP="00420DDC">
      <w:pPr>
        <w:spacing w:after="0" w:line="276" w:lineRule="auto"/>
        <w:ind w:left="31" w:right="56" w:hanging="10"/>
        <w:rPr>
          <w:b/>
          <w:color w:val="404040" w:themeColor="text1" w:themeTint="BF"/>
          <w:sz w:val="18"/>
        </w:rPr>
      </w:pPr>
      <w:r w:rsidRPr="003220F7">
        <w:rPr>
          <w:b/>
          <w:color w:val="404040" w:themeColor="text1" w:themeTint="BF"/>
          <w:sz w:val="18"/>
        </w:rPr>
        <w:t>Innovación educativa: evaluación de programas educativos.</w:t>
      </w:r>
    </w:p>
    <w:p w:rsidR="00420DDC" w:rsidRPr="003220F7" w:rsidRDefault="00420DDC" w:rsidP="00420DDC">
      <w:pPr>
        <w:spacing w:after="0" w:line="276" w:lineRule="auto"/>
        <w:ind w:left="31" w:right="56" w:hanging="10"/>
        <w:rPr>
          <w:b/>
          <w:color w:val="404040" w:themeColor="text1" w:themeTint="BF"/>
          <w:sz w:val="18"/>
        </w:rPr>
      </w:pPr>
    </w:p>
    <w:p w:rsidR="00D41A69" w:rsidRPr="003220F7" w:rsidRDefault="00E22925" w:rsidP="00420DDC">
      <w:pPr>
        <w:spacing w:line="276" w:lineRule="auto"/>
        <w:ind w:left="31" w:right="56" w:hanging="10"/>
        <w:rPr>
          <w:color w:val="404040" w:themeColor="text1" w:themeTint="BF"/>
        </w:rPr>
      </w:pPr>
      <w:r w:rsidRPr="003220F7">
        <w:rPr>
          <w:b/>
          <w:color w:val="404040" w:themeColor="text1" w:themeTint="BF"/>
          <w:sz w:val="18"/>
        </w:rPr>
        <w:t xml:space="preserve">Acceso a la educación y calidad educativa. </w:t>
      </w:r>
    </w:p>
    <w:p w:rsidR="00D41A69" w:rsidRPr="003220F7" w:rsidRDefault="00E22925" w:rsidP="00420DDC">
      <w:pPr>
        <w:spacing w:line="240" w:lineRule="auto"/>
        <w:ind w:right="56"/>
        <w:rPr>
          <w:b/>
          <w:color w:val="404040" w:themeColor="text1" w:themeTint="BF"/>
          <w:sz w:val="18"/>
        </w:rPr>
      </w:pPr>
      <w:r w:rsidRPr="003220F7">
        <w:rPr>
          <w:b/>
          <w:color w:val="404040" w:themeColor="text1" w:themeTint="BF"/>
          <w:sz w:val="18"/>
        </w:rPr>
        <w:t xml:space="preserve">Educación post-pandemia y sus principales desafíos </w:t>
      </w:r>
      <w:r w:rsidR="003220F7" w:rsidRPr="003220F7">
        <w:rPr>
          <w:b/>
          <w:color w:val="404040" w:themeColor="text1" w:themeTint="BF"/>
          <w:sz w:val="18"/>
        </w:rPr>
        <w:t>en América</w:t>
      </w:r>
      <w:r w:rsidRPr="003220F7">
        <w:rPr>
          <w:b/>
          <w:color w:val="404040" w:themeColor="text1" w:themeTint="BF"/>
          <w:sz w:val="18"/>
        </w:rPr>
        <w:t xml:space="preserve"> Latina. </w:t>
      </w:r>
    </w:p>
    <w:p w:rsidR="00420DDC" w:rsidRPr="003220F7" w:rsidRDefault="00420DDC" w:rsidP="00420DDC">
      <w:pPr>
        <w:spacing w:line="240" w:lineRule="auto"/>
        <w:ind w:right="56"/>
        <w:rPr>
          <w:color w:val="C00000"/>
        </w:rPr>
      </w:pPr>
    </w:p>
    <w:p w:rsidR="00D41A69" w:rsidRPr="003220F7" w:rsidRDefault="00E22925">
      <w:pPr>
        <w:pStyle w:val="Ttulo1"/>
        <w:ind w:left="31"/>
        <w:rPr>
          <w:color w:val="C00000"/>
        </w:rPr>
      </w:pPr>
      <w:r w:rsidRPr="003220F7">
        <w:rPr>
          <w:color w:val="C00000"/>
        </w:rPr>
        <w:t xml:space="preserve">HABILIDADES DEL SERVIDOR PÚBLICO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Comunicación asertiva.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Creatividad.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Innovación.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Inteligencia emocional. </w:t>
      </w:r>
    </w:p>
    <w:p w:rsidR="00D41A69" w:rsidRPr="003220F7" w:rsidRDefault="00E22925">
      <w:pPr>
        <w:spacing w:after="159" w:line="263" w:lineRule="auto"/>
        <w:ind w:left="31" w:right="56" w:hanging="10"/>
        <w:rPr>
          <w:color w:val="404040" w:themeColor="text1" w:themeTint="BF"/>
        </w:rPr>
      </w:pPr>
      <w:r w:rsidRPr="003220F7">
        <w:rPr>
          <w:b/>
          <w:color w:val="404040" w:themeColor="text1" w:themeTint="BF"/>
          <w:sz w:val="18"/>
        </w:rPr>
        <w:t xml:space="preserve">Liderazgo. </w:t>
      </w:r>
    </w:p>
    <w:p w:rsidR="00D41A69" w:rsidRPr="003220F7" w:rsidRDefault="00E22925" w:rsidP="00420DDC">
      <w:pPr>
        <w:spacing w:after="159" w:line="263" w:lineRule="auto"/>
        <w:ind w:right="56"/>
        <w:rPr>
          <w:color w:val="404040" w:themeColor="text1" w:themeTint="BF"/>
        </w:rPr>
      </w:pPr>
      <w:r w:rsidRPr="003220F7">
        <w:rPr>
          <w:b/>
          <w:color w:val="404040" w:themeColor="text1" w:themeTint="BF"/>
          <w:sz w:val="18"/>
        </w:rPr>
        <w:t xml:space="preserve">Trabajo en equipo. </w:t>
      </w:r>
    </w:p>
    <w:p w:rsidR="00D41A69" w:rsidRPr="003220F7" w:rsidRDefault="00E22925">
      <w:pPr>
        <w:ind w:left="4" w:hanging="10"/>
        <w:rPr>
          <w:color w:val="404040" w:themeColor="text1" w:themeTint="BF"/>
        </w:rPr>
      </w:pPr>
      <w:r w:rsidRPr="003220F7">
        <w:rPr>
          <w:b/>
          <w:color w:val="404040" w:themeColor="text1" w:themeTint="BF"/>
          <w:sz w:val="18"/>
        </w:rPr>
        <w:t>Pensamiento estratégico para la resolución de conflictos.</w:t>
      </w:r>
    </w:p>
    <w:p w:rsidR="00D41A69" w:rsidRPr="003220F7" w:rsidRDefault="00E22925">
      <w:pPr>
        <w:ind w:left="4" w:hanging="10"/>
        <w:rPr>
          <w:color w:val="404040" w:themeColor="text1" w:themeTint="BF"/>
        </w:rPr>
      </w:pPr>
      <w:r w:rsidRPr="003220F7">
        <w:rPr>
          <w:b/>
          <w:color w:val="404040" w:themeColor="text1" w:themeTint="BF"/>
          <w:sz w:val="18"/>
        </w:rPr>
        <w:t>Negociación.</w:t>
      </w:r>
    </w:p>
    <w:p w:rsidR="00D41A69" w:rsidRPr="003220F7" w:rsidRDefault="00E22925">
      <w:pPr>
        <w:ind w:left="4" w:hanging="10"/>
        <w:rPr>
          <w:color w:val="404040" w:themeColor="text1" w:themeTint="BF"/>
        </w:rPr>
      </w:pPr>
      <w:r w:rsidRPr="003220F7">
        <w:rPr>
          <w:b/>
          <w:color w:val="404040" w:themeColor="text1" w:themeTint="BF"/>
          <w:sz w:val="18"/>
        </w:rPr>
        <w:t>Oratoria.</w:t>
      </w:r>
    </w:p>
    <w:p w:rsidR="00D41A69" w:rsidRPr="003220F7" w:rsidRDefault="00E22925">
      <w:pPr>
        <w:ind w:left="4" w:hanging="10"/>
        <w:rPr>
          <w:color w:val="404040" w:themeColor="text1" w:themeTint="BF"/>
        </w:rPr>
      </w:pPr>
      <w:r w:rsidRPr="003220F7">
        <w:rPr>
          <w:b/>
          <w:color w:val="404040" w:themeColor="text1" w:themeTint="BF"/>
          <w:sz w:val="18"/>
        </w:rPr>
        <w:t>Taller de debate y escucha.</w:t>
      </w:r>
    </w:p>
    <w:sectPr w:rsidR="00D41A69" w:rsidRPr="003220F7">
      <w:type w:val="continuous"/>
      <w:pgSz w:w="11906" w:h="16838"/>
      <w:pgMar w:top="2302" w:right="430" w:bottom="2442" w:left="1666" w:header="720" w:footer="720" w:gutter="0"/>
      <w:cols w:num="2" w:space="720" w:equalWidth="0">
        <w:col w:w="3578" w:space="1402"/>
        <w:col w:w="48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16" w:rsidRDefault="00793B16">
      <w:pPr>
        <w:spacing w:after="0" w:line="240" w:lineRule="auto"/>
      </w:pPr>
      <w:r>
        <w:separator/>
      </w:r>
    </w:p>
  </w:endnote>
  <w:endnote w:type="continuationSeparator" w:id="0">
    <w:p w:rsidR="00793B16" w:rsidRDefault="0079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16" w:rsidRDefault="00793B16">
      <w:pPr>
        <w:spacing w:after="0" w:line="240" w:lineRule="auto"/>
      </w:pPr>
      <w:r>
        <w:separator/>
      </w:r>
    </w:p>
  </w:footnote>
  <w:footnote w:type="continuationSeparator" w:id="0">
    <w:p w:rsidR="00793B16" w:rsidRDefault="00793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69" w:rsidRDefault="00E22925">
    <w:pPr>
      <w:spacing w:after="0"/>
      <w:ind w:right="131"/>
      <w:jc w:val="right"/>
    </w:pPr>
    <w:r>
      <w:rPr>
        <w:noProof/>
      </w:rPr>
      <w:drawing>
        <wp:anchor distT="0" distB="0" distL="114300" distR="114300" simplePos="0" relativeHeight="251658240" behindDoc="0" locked="0" layoutInCell="1" allowOverlap="0">
          <wp:simplePos x="0" y="0"/>
          <wp:positionH relativeFrom="page">
            <wp:posOffset>360045</wp:posOffset>
          </wp:positionH>
          <wp:positionV relativeFrom="page">
            <wp:posOffset>438150</wp:posOffset>
          </wp:positionV>
          <wp:extent cx="547370" cy="52324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7370" cy="523240"/>
                  </a:xfrm>
                  <a:prstGeom prst="rect">
                    <a:avLst/>
                  </a:prstGeom>
                </pic:spPr>
              </pic:pic>
            </a:graphicData>
          </a:graphic>
        </wp:anchor>
      </w:drawing>
    </w:r>
    <w:r>
      <w:rPr>
        <w:b/>
        <w:color w:val="A71930"/>
        <w:sz w:val="24"/>
      </w:rPr>
      <w:t xml:space="preserve">CONTENIDOS DEL PROGRAMA PARA EL FORTALECIMIENTO DE LA FUNCIÓN PÚBLICA </w:t>
    </w:r>
  </w:p>
  <w:p w:rsidR="00D41A69" w:rsidRDefault="00E22925">
    <w:pPr>
      <w:spacing w:after="0"/>
      <w:ind w:left="86"/>
      <w:jc w:val="center"/>
    </w:pPr>
    <w:r>
      <w:rPr>
        <w:b/>
        <w:color w:val="A71930"/>
        <w:sz w:val="24"/>
      </w:rPr>
      <w:t xml:space="preserve">EN AMÉRICA LATINA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69" w:rsidRDefault="00E22925" w:rsidP="003220F7">
    <w:pPr>
      <w:spacing w:after="0"/>
      <w:ind w:right="131"/>
      <w:jc w:val="center"/>
    </w:pPr>
    <w:r>
      <w:rPr>
        <w:noProof/>
      </w:rPr>
      <w:drawing>
        <wp:anchor distT="0" distB="0" distL="114300" distR="114300" simplePos="0" relativeHeight="251659264" behindDoc="0" locked="0" layoutInCell="1" allowOverlap="0">
          <wp:simplePos x="0" y="0"/>
          <wp:positionH relativeFrom="page">
            <wp:posOffset>360045</wp:posOffset>
          </wp:positionH>
          <wp:positionV relativeFrom="page">
            <wp:posOffset>438150</wp:posOffset>
          </wp:positionV>
          <wp:extent cx="547370" cy="523240"/>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7370" cy="523240"/>
                  </a:xfrm>
                  <a:prstGeom prst="rect">
                    <a:avLst/>
                  </a:prstGeom>
                </pic:spPr>
              </pic:pic>
            </a:graphicData>
          </a:graphic>
        </wp:anchor>
      </w:drawing>
    </w:r>
    <w:r>
      <w:rPr>
        <w:b/>
        <w:color w:val="A71930"/>
        <w:sz w:val="24"/>
      </w:rPr>
      <w:t xml:space="preserve">CONTENIDOS DEL PROGRAMA PARA EL FORTALECIMIENTO DE LA FUNCIÓN PÚBLICA </w:t>
    </w:r>
  </w:p>
  <w:p w:rsidR="00D41A69" w:rsidRDefault="00E22925">
    <w:pPr>
      <w:spacing w:after="0"/>
      <w:ind w:left="86"/>
      <w:jc w:val="center"/>
    </w:pPr>
    <w:r>
      <w:rPr>
        <w:b/>
        <w:color w:val="A71930"/>
        <w:sz w:val="24"/>
      </w:rPr>
      <w:t xml:space="preserve">EN AMÉRICA LATINA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A69" w:rsidRDefault="00E22925">
    <w:pPr>
      <w:spacing w:after="0"/>
      <w:ind w:right="131"/>
      <w:jc w:val="right"/>
    </w:pPr>
    <w:r>
      <w:rPr>
        <w:noProof/>
      </w:rPr>
      <w:drawing>
        <wp:anchor distT="0" distB="0" distL="114300" distR="114300" simplePos="0" relativeHeight="251660288" behindDoc="0" locked="0" layoutInCell="1" allowOverlap="0">
          <wp:simplePos x="0" y="0"/>
          <wp:positionH relativeFrom="page">
            <wp:posOffset>360045</wp:posOffset>
          </wp:positionH>
          <wp:positionV relativeFrom="page">
            <wp:posOffset>438150</wp:posOffset>
          </wp:positionV>
          <wp:extent cx="547370" cy="523240"/>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47370" cy="523240"/>
                  </a:xfrm>
                  <a:prstGeom prst="rect">
                    <a:avLst/>
                  </a:prstGeom>
                </pic:spPr>
              </pic:pic>
            </a:graphicData>
          </a:graphic>
        </wp:anchor>
      </w:drawing>
    </w:r>
    <w:r>
      <w:rPr>
        <w:b/>
        <w:color w:val="A71930"/>
        <w:sz w:val="24"/>
      </w:rPr>
      <w:t xml:space="preserve">CONTENIDOS DEL PROGRAMA PARA EL FORTALECIMIENTO DE LA FUNCIÓN PÚBLICA </w:t>
    </w:r>
  </w:p>
  <w:p w:rsidR="00D41A69" w:rsidRDefault="00E22925">
    <w:pPr>
      <w:spacing w:after="0"/>
      <w:ind w:left="86"/>
      <w:jc w:val="center"/>
    </w:pPr>
    <w:r>
      <w:rPr>
        <w:b/>
        <w:color w:val="A71930"/>
        <w:sz w:val="24"/>
      </w:rPr>
      <w:t xml:space="preserve">EN AMÉRICA LATINA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69"/>
    <w:rsid w:val="003220F7"/>
    <w:rsid w:val="00420DDC"/>
    <w:rsid w:val="00587263"/>
    <w:rsid w:val="00793B16"/>
    <w:rsid w:val="00882D3A"/>
    <w:rsid w:val="009A4F65"/>
    <w:rsid w:val="00A56A46"/>
    <w:rsid w:val="00A778D7"/>
    <w:rsid w:val="00B10A56"/>
    <w:rsid w:val="00D41A69"/>
    <w:rsid w:val="00E22925"/>
    <w:rsid w:val="00E36E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2C81"/>
  <w15:docId w15:val="{ECAE1318-8D2C-4716-95C8-02293615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61" w:line="258" w:lineRule="auto"/>
      <w:ind w:left="46" w:hanging="10"/>
      <w:outlineLvl w:val="0"/>
    </w:pPr>
    <w:rPr>
      <w:rFonts w:ascii="Calibri" w:eastAsia="Calibri" w:hAnsi="Calibri" w:cs="Calibri"/>
      <w:b/>
      <w:color w:val="A7182F"/>
      <w:sz w:val="18"/>
    </w:rPr>
  </w:style>
  <w:style w:type="paragraph" w:styleId="Ttulo2">
    <w:name w:val="heading 2"/>
    <w:next w:val="Normal"/>
    <w:link w:val="Ttulo2Car"/>
    <w:uiPriority w:val="9"/>
    <w:unhideWhenUsed/>
    <w:qFormat/>
    <w:pPr>
      <w:keepNext/>
      <w:keepLines/>
      <w:spacing w:after="161"/>
      <w:ind w:left="55" w:hanging="10"/>
      <w:outlineLvl w:val="1"/>
    </w:pPr>
    <w:rPr>
      <w:rFonts w:ascii="Calibri" w:eastAsia="Calibri" w:hAnsi="Calibri" w:cs="Calibri"/>
      <w:b/>
      <w:color w:val="C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A7182F"/>
      <w:sz w:val="18"/>
    </w:rPr>
  </w:style>
  <w:style w:type="character" w:customStyle="1" w:styleId="Ttulo2Car">
    <w:name w:val="Título 2 Car"/>
    <w:link w:val="Ttulo2"/>
    <w:rPr>
      <w:rFonts w:ascii="Calibri" w:eastAsia="Calibri" w:hAnsi="Calibri" w:cs="Calibri"/>
      <w:b/>
      <w:color w:val="C00000"/>
      <w:sz w:val="18"/>
    </w:rPr>
  </w:style>
  <w:style w:type="paragraph" w:styleId="Piedepgina">
    <w:name w:val="footer"/>
    <w:basedOn w:val="Normal"/>
    <w:link w:val="PiedepginaCar"/>
    <w:uiPriority w:val="99"/>
    <w:unhideWhenUsed/>
    <w:rsid w:val="00322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0F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C7E4-97DC-4FC5-A26C-1D73CDC2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Acosta</dc:creator>
  <cp:keywords/>
  <cp:lastModifiedBy>Ignacio Verón</cp:lastModifiedBy>
  <cp:revision>3</cp:revision>
  <dcterms:created xsi:type="dcterms:W3CDTF">2025-01-23T08:43:00Z</dcterms:created>
  <dcterms:modified xsi:type="dcterms:W3CDTF">2025-02-04T08:20:00Z</dcterms:modified>
</cp:coreProperties>
</file>